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01" w:rsidRPr="00EF3017" w:rsidRDefault="00F53001" w:rsidP="00F53001">
      <w:pPr>
        <w:rPr>
          <w:rFonts w:ascii="Humanst521 BT" w:hAnsi="Humanst521 BT"/>
          <w:b/>
          <w:i/>
          <w:color w:val="404040"/>
          <w:sz w:val="22"/>
        </w:rPr>
      </w:pPr>
      <w:bookmarkStart w:id="0" w:name="_GoBack"/>
      <w:bookmarkEnd w:id="0"/>
    </w:p>
    <w:p w:rsidR="00F53001" w:rsidRPr="00D44A1C" w:rsidRDefault="00F53001" w:rsidP="00F53001">
      <w:pPr>
        <w:ind w:right="-376"/>
        <w:jc w:val="right"/>
        <w:rPr>
          <w:rFonts w:ascii="Humanst521 BT" w:hAnsi="Humanst521 BT"/>
          <w:b/>
          <w:color w:val="808080" w:themeColor="background1" w:themeShade="80"/>
        </w:rPr>
      </w:pPr>
      <w:r w:rsidRPr="00D44A1C">
        <w:rPr>
          <w:rFonts w:ascii="Humanst521 BT" w:hAnsi="Humanst521 BT"/>
          <w:b/>
          <w:color w:val="808080" w:themeColor="background1" w:themeShade="80"/>
        </w:rPr>
        <w:t>COORDINACIÓN DE PARTIDOS POLÍTICOS Y FINANCIAMIENTO</w:t>
      </w:r>
    </w:p>
    <w:p w:rsidR="00F53001" w:rsidRPr="00DD0BBE" w:rsidRDefault="00F53001" w:rsidP="00F53001">
      <w:pPr>
        <w:pStyle w:val="Sinespaciado"/>
        <w:ind w:right="-376"/>
        <w:rPr>
          <w:rFonts w:ascii="Humanst521 BT" w:hAnsi="Humanst521 BT"/>
          <w:sz w:val="16"/>
          <w:szCs w:val="16"/>
        </w:rPr>
      </w:pPr>
    </w:p>
    <w:p w:rsidR="00F53001" w:rsidRPr="00DD0BBE" w:rsidRDefault="00F53001" w:rsidP="00F53001">
      <w:pPr>
        <w:ind w:right="-142"/>
        <w:jc w:val="right"/>
        <w:rPr>
          <w:rFonts w:ascii="Humanst521 BT" w:hAnsi="Humanst521 BT"/>
          <w:b/>
        </w:rPr>
      </w:pPr>
      <w:r w:rsidRPr="00DD0BBE">
        <w:rPr>
          <w:rFonts w:ascii="Humanst521 BT" w:hAnsi="Humanst521 BT"/>
          <w:b/>
        </w:rPr>
        <w:t xml:space="preserve"> Oficio Número: CPPyF/</w:t>
      </w:r>
      <w:r>
        <w:rPr>
          <w:rFonts w:ascii="Humanst521 BT" w:hAnsi="Humanst521 BT"/>
          <w:b/>
        </w:rPr>
        <w:t>396</w:t>
      </w:r>
      <w:r w:rsidRPr="00DD0BBE">
        <w:rPr>
          <w:rFonts w:ascii="Humanst521 BT" w:hAnsi="Humanst521 BT"/>
          <w:b/>
        </w:rPr>
        <w:t>/2016</w:t>
      </w:r>
    </w:p>
    <w:p w:rsidR="00F53001" w:rsidRPr="00DD0BBE" w:rsidRDefault="00F53001" w:rsidP="00F53001">
      <w:pPr>
        <w:ind w:right="-142"/>
        <w:jc w:val="right"/>
        <w:rPr>
          <w:rFonts w:ascii="Humanst521 BT" w:hAnsi="Humanst521 BT"/>
          <w:b/>
        </w:rPr>
      </w:pPr>
    </w:p>
    <w:p w:rsidR="00F53001" w:rsidRPr="00DD0BBE" w:rsidRDefault="00F53001" w:rsidP="00F53001">
      <w:pPr>
        <w:ind w:right="-142"/>
        <w:jc w:val="right"/>
        <w:rPr>
          <w:rFonts w:ascii="Humanst521 BT" w:hAnsi="Humanst521 BT"/>
        </w:rPr>
      </w:pPr>
      <w:r w:rsidRPr="00DD0BBE">
        <w:rPr>
          <w:rFonts w:ascii="Humanst521 BT" w:hAnsi="Humanst521 BT"/>
        </w:rPr>
        <w:t xml:space="preserve">Mexicali, Baja California a </w:t>
      </w:r>
      <w:r>
        <w:rPr>
          <w:rFonts w:ascii="Humanst521 BT" w:hAnsi="Humanst521 BT"/>
        </w:rPr>
        <w:t xml:space="preserve">12 de diciembre </w:t>
      </w:r>
      <w:r w:rsidRPr="00DD0BBE">
        <w:rPr>
          <w:rFonts w:ascii="Humanst521 BT" w:hAnsi="Humanst521 BT"/>
        </w:rPr>
        <w:t>de 2016</w:t>
      </w:r>
    </w:p>
    <w:p w:rsidR="00F53001" w:rsidRPr="00DD0BBE" w:rsidRDefault="00F53001" w:rsidP="00F53001">
      <w:pPr>
        <w:ind w:left="-567"/>
        <w:rPr>
          <w:rFonts w:ascii="Humanst521 BT" w:hAnsi="Humanst521 BT"/>
        </w:rPr>
      </w:pPr>
    </w:p>
    <w:p w:rsidR="00F53001" w:rsidRDefault="00F53001" w:rsidP="00F53001">
      <w:pPr>
        <w:ind w:left="-567"/>
        <w:rPr>
          <w:rFonts w:ascii="Humanst521 BT" w:hAnsi="Humanst521 BT"/>
          <w:b/>
        </w:rPr>
      </w:pPr>
    </w:p>
    <w:p w:rsidR="00F53001" w:rsidRDefault="00F53001" w:rsidP="00F53001">
      <w:pPr>
        <w:ind w:left="-567"/>
        <w:rPr>
          <w:rFonts w:ascii="Humanst521 BT" w:hAnsi="Humanst521 BT"/>
          <w:b/>
        </w:rPr>
      </w:pPr>
    </w:p>
    <w:p w:rsidR="00F53001" w:rsidRPr="00D44A1C" w:rsidRDefault="00F53001" w:rsidP="00F53001">
      <w:pPr>
        <w:ind w:left="-567"/>
        <w:rPr>
          <w:rFonts w:ascii="Humanst521 BT" w:hAnsi="Humanst521 BT"/>
          <w:b/>
        </w:rPr>
      </w:pPr>
      <w:r w:rsidRPr="00D44A1C">
        <w:rPr>
          <w:rFonts w:ascii="Humanst521 BT" w:hAnsi="Humanst521 BT"/>
          <w:b/>
        </w:rPr>
        <w:t xml:space="preserve">LIC. MARIO MALO PAYAN </w:t>
      </w:r>
    </w:p>
    <w:p w:rsidR="00F53001" w:rsidRPr="00D44A1C" w:rsidRDefault="00F53001" w:rsidP="00F53001">
      <w:pPr>
        <w:ind w:left="-567"/>
        <w:rPr>
          <w:rFonts w:ascii="Humanst521 BT" w:hAnsi="Humanst521 BT"/>
          <w:b/>
        </w:rPr>
      </w:pPr>
      <w:r w:rsidRPr="00D44A1C">
        <w:rPr>
          <w:rFonts w:ascii="Humanst521 BT" w:hAnsi="Humanst521 BT"/>
          <w:b/>
        </w:rPr>
        <w:t xml:space="preserve">TITULAR EJECUTIVO DE LA UNIDAD </w:t>
      </w:r>
    </w:p>
    <w:p w:rsidR="00F53001" w:rsidRPr="00D44A1C" w:rsidRDefault="00F53001" w:rsidP="00F53001">
      <w:pPr>
        <w:ind w:left="-567"/>
        <w:rPr>
          <w:rFonts w:ascii="Humanst521 BT" w:hAnsi="Humanst521 BT"/>
          <w:b/>
        </w:rPr>
      </w:pPr>
      <w:r w:rsidRPr="00D44A1C">
        <w:rPr>
          <w:rFonts w:ascii="Humanst521 BT" w:hAnsi="Humanst521 BT"/>
          <w:b/>
        </w:rPr>
        <w:t>DE TRANSPARENCIA DEL IEEBC</w:t>
      </w:r>
    </w:p>
    <w:p w:rsidR="00F53001" w:rsidRPr="00D44A1C" w:rsidRDefault="00F53001" w:rsidP="00F53001">
      <w:pPr>
        <w:ind w:left="-567"/>
        <w:rPr>
          <w:rFonts w:ascii="Humanst521 BT" w:hAnsi="Humanst521 BT"/>
          <w:b/>
        </w:rPr>
      </w:pPr>
      <w:r w:rsidRPr="00D44A1C">
        <w:rPr>
          <w:rFonts w:ascii="Humanst521 BT" w:hAnsi="Humanst521 BT"/>
          <w:b/>
        </w:rPr>
        <w:t>Presente.-</w:t>
      </w:r>
    </w:p>
    <w:p w:rsidR="00F53001" w:rsidRDefault="00F53001" w:rsidP="00F53001">
      <w:pPr>
        <w:spacing w:line="320" w:lineRule="atLeast"/>
        <w:ind w:left="-567"/>
        <w:jc w:val="both"/>
        <w:rPr>
          <w:rFonts w:ascii="Humanst521 BT" w:hAnsi="Humanst521 BT"/>
          <w:sz w:val="16"/>
          <w:szCs w:val="16"/>
        </w:rPr>
      </w:pPr>
    </w:p>
    <w:p w:rsidR="00F53001" w:rsidRDefault="00F53001" w:rsidP="00F53001">
      <w:pPr>
        <w:spacing w:line="320" w:lineRule="atLeast"/>
        <w:ind w:left="-567"/>
        <w:jc w:val="both"/>
        <w:rPr>
          <w:rFonts w:ascii="Humanst521 BT" w:hAnsi="Humanst521 BT"/>
        </w:rPr>
      </w:pPr>
      <w:r w:rsidRPr="00D44A1C">
        <w:rPr>
          <w:rFonts w:ascii="Humanst521 BT" w:hAnsi="Humanst521 BT"/>
        </w:rPr>
        <w:t xml:space="preserve">Con fundamento en lo dispuesto por el artículo 57, fracción II, de la Ley Electoral de Baja California y artículo 59, numeral I, inciso a), del Reglamento Interior del Instituto Estatal Electoral del Estado de Baja California, y en respuesta a su oficio </w:t>
      </w:r>
      <w:r w:rsidRPr="00D44A1C">
        <w:rPr>
          <w:rFonts w:ascii="Humanst521 BT" w:hAnsi="Humanst521 BT"/>
          <w:b/>
        </w:rPr>
        <w:t>UTIEEBC/947/2016</w:t>
      </w:r>
      <w:r w:rsidRPr="00D44A1C">
        <w:rPr>
          <w:rFonts w:ascii="Humanst521 BT" w:hAnsi="Humanst521 BT"/>
        </w:rPr>
        <w:t xml:space="preserve"> de fecha 6 de diciembre de 2016, con número de folio </w:t>
      </w:r>
      <w:r w:rsidRPr="00D44A1C">
        <w:rPr>
          <w:rFonts w:ascii="Humanst521 BT" w:hAnsi="Humanst521 BT"/>
          <w:b/>
        </w:rPr>
        <w:t>00275916</w:t>
      </w:r>
      <w:r w:rsidRPr="00D44A1C">
        <w:rPr>
          <w:rFonts w:ascii="Humanst521 BT" w:hAnsi="Humanst521 BT"/>
        </w:rPr>
        <w:t>, por medio del cual solicita información relacionada con la autorización de las sustituciones de candidatos por renuncia en los 30 días antes de la jornada electoral, y los acuerdos correspondientes. Por lo cual me permito reproducir mi contestación dentro del plazo de 5 días hábiles otorgado, en los términos que a continuación se precisan:</w:t>
      </w:r>
    </w:p>
    <w:p w:rsidR="00F53001" w:rsidRDefault="00F53001" w:rsidP="00F53001">
      <w:pPr>
        <w:spacing w:line="320" w:lineRule="atLeast"/>
        <w:ind w:left="-567"/>
        <w:jc w:val="both"/>
        <w:rPr>
          <w:rFonts w:ascii="Humanst521 BT" w:hAnsi="Humanst521 BT"/>
        </w:rPr>
      </w:pPr>
    </w:p>
    <w:p w:rsidR="00F53001" w:rsidRDefault="00F53001" w:rsidP="00F53001">
      <w:pPr>
        <w:spacing w:line="276" w:lineRule="auto"/>
        <w:ind w:left="-567"/>
        <w:jc w:val="both"/>
        <w:rPr>
          <w:rFonts w:ascii="Humanst521 BT" w:hAnsi="Humanst521 BT"/>
        </w:rPr>
      </w:pPr>
      <w:r w:rsidRPr="00411F47">
        <w:rPr>
          <w:rFonts w:ascii="Humanst521 BT" w:hAnsi="Humanst521 BT"/>
          <w:b/>
        </w:rPr>
        <w:t>SUSTITUCIONES REALIZADAS ANTE EL CONSEJO GENERAL ELECTORAL</w:t>
      </w:r>
    </w:p>
    <w:p w:rsidR="00F53001" w:rsidRDefault="00F53001" w:rsidP="00F53001">
      <w:pPr>
        <w:spacing w:line="276" w:lineRule="auto"/>
        <w:ind w:left="-567"/>
        <w:jc w:val="both"/>
        <w:rPr>
          <w:rFonts w:ascii="Humanst521 BT" w:hAnsi="Humanst521 BT"/>
        </w:rPr>
      </w:pPr>
    </w:p>
    <w:p w:rsidR="00F53001" w:rsidRDefault="00F53001" w:rsidP="00F53001">
      <w:pPr>
        <w:spacing w:line="276" w:lineRule="auto"/>
        <w:ind w:left="-567"/>
        <w:jc w:val="both"/>
        <w:rPr>
          <w:rFonts w:ascii="Humanst521 BT" w:hAnsi="Humanst521 BT"/>
        </w:rPr>
      </w:pPr>
      <w:r>
        <w:rPr>
          <w:rFonts w:ascii="Humanst521 BT" w:hAnsi="Humanst521 BT"/>
        </w:rPr>
        <w:t>En la Trigésima</w:t>
      </w:r>
      <w:r w:rsidRPr="00411F47">
        <w:rPr>
          <w:rFonts w:ascii="Humanst521 BT" w:hAnsi="Humanst521 BT"/>
        </w:rPr>
        <w:t xml:space="preserve"> Primera Sesión Extraordinaria de fecha 6 de mayo de 2016, el Consejo General del Instituto Estatal acordó la procedencia de las solicitudes de sustitución presentadas por la Coalición integrada por los Partidos Políticos Revolucionario Institucional, del Trabajo y Verde Ecologista de México, así como Partidos Políticos Acción Nacional, Movimiento Ciudadano, de la Revolución Democrática, Partido de Baja California y el Partido Peninsular de las Californias, de conformidad con lo dispuesto por los artículos 132, 134, 135, 145, 146 y 151 de la Ley Electoral, en los siguientes términos: </w:t>
      </w:r>
    </w:p>
    <w:p w:rsidR="00F53001" w:rsidRPr="00411F47" w:rsidRDefault="00F53001" w:rsidP="00F53001">
      <w:pPr>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segundo regidor de la planilla de munícipes por el ayuntamiento de Playas de Rosarito, del Partido Acción Nacional.</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tercer regidor de la planilla de munícipes por el ayuntamiento de Mexicali, de la Coalición.</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séptimo regidor de la planilla de munícipes por el ayuntamiento de Mexicali, de la Coalición.</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primer regidor de la planilla de munícipes por el ayuntamiento de Ensenada, de la Coalición.</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síndico procurador de la planilla de munícipes por el ayuntamiento de Mexicali, del Partido de Baja California.</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segundo regidor de la planilla de munícipes por el ayuntamiento de Mexicali, del Partido de Baja California.</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octavo regidor de la planilla de munícipes por el ayuntamiento de Mexicali, del Partido de Baja California.</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sexto regidor de la planilla de munícipes por el ayuntamiento de Mexicali, del Partido Movimiento Ciudadano.</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sindico procurador de la planilla de munícipes por el ayuntamiento de Tijuana, del Partido Movimiento Ciudadano.</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sexto regidor de la planilla de munícipes por el  ayuntamiento de Tijuana, del Partido Movimiento Ciudadano.</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presidente municipal de la planilla de munícipes por el ayuntamiento de Mexicali, de MORENA, en acatamiento a una resolución jurisdiccional.</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presidente municipal de la planilla de munícipes por el ayuntamiento de Tijuana, del Partido Peninsular de las Californias, en acatamiento a una resolución jurisdiccional.</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fórmula del tercer regidor de la planilla de munícipes por el ayuntamiento de Tijuana, del Partido Peninsular de las Californias, en acatamiento a una resolución jurisdiccional.</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segunda fórmula de diputados por el principio de representación proporcional, del Partido de la Revolución Democrática.</w:t>
      </w:r>
    </w:p>
    <w:p w:rsidR="00F53001"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lastRenderedPageBreak/>
        <w:t>- Sustitución en la cuarta fórmula de diputados por el principio de representación proporcional, del Partido de la Revolución Democrática.</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Sustitución en la primera fórmula de diputados por el principio de representación proporcional, del Partido Movimiento Ciudadano.</w:t>
      </w:r>
    </w:p>
    <w:p w:rsidR="00F53001" w:rsidRDefault="00F53001" w:rsidP="00F53001">
      <w:pPr>
        <w:jc w:val="both"/>
        <w:rPr>
          <w:rFonts w:ascii="Humanst521 BT" w:hAnsi="Humanst521 BT"/>
        </w:rPr>
      </w:pPr>
    </w:p>
    <w:p w:rsidR="00F53001" w:rsidRDefault="00F53001" w:rsidP="00F53001">
      <w:pPr>
        <w:jc w:val="both"/>
        <w:rPr>
          <w:rFonts w:ascii="Humanst521 BT" w:hAnsi="Humanst521 BT"/>
        </w:rPr>
      </w:pPr>
    </w:p>
    <w:p w:rsidR="00F53001" w:rsidRPr="00411F47" w:rsidRDefault="00F53001" w:rsidP="00F53001">
      <w:pPr>
        <w:jc w:val="both"/>
        <w:rPr>
          <w:rFonts w:ascii="Humanst521 BT" w:hAnsi="Humanst521 BT"/>
          <w:b/>
        </w:rPr>
      </w:pPr>
      <w:r w:rsidRPr="00411F47">
        <w:rPr>
          <w:rFonts w:ascii="Humanst521 BT" w:hAnsi="Humanst521 BT"/>
        </w:rPr>
        <w:t xml:space="preserve">Los mencionados Puntos de Acuerdo pueden ser consultados en la siguiente liga </w:t>
      </w:r>
      <w:r w:rsidRPr="00411F47">
        <w:rPr>
          <w:rFonts w:ascii="Humanst521 BT" w:hAnsi="Humanst521 BT"/>
          <w:b/>
        </w:rPr>
        <w:t>http://www.ieebc.mx/sesiones2016/XXXIext2016pa.html.</w:t>
      </w:r>
    </w:p>
    <w:p w:rsidR="00F53001" w:rsidRDefault="00F53001" w:rsidP="00F53001">
      <w:pPr>
        <w:spacing w:line="360" w:lineRule="auto"/>
        <w:jc w:val="both"/>
        <w:rPr>
          <w:rFonts w:ascii="Humanst521 BT" w:hAnsi="Humanst521 BT"/>
          <w:b/>
        </w:rPr>
      </w:pPr>
    </w:p>
    <w:p w:rsidR="00F53001" w:rsidRDefault="00F53001" w:rsidP="00F53001">
      <w:pPr>
        <w:ind w:left="-567"/>
        <w:jc w:val="both"/>
        <w:rPr>
          <w:rFonts w:ascii="Humanst521 BT" w:hAnsi="Humanst521 BT"/>
          <w:b/>
        </w:rPr>
      </w:pPr>
    </w:p>
    <w:p w:rsidR="00F53001" w:rsidRDefault="00F53001" w:rsidP="00F53001">
      <w:pPr>
        <w:ind w:left="-567"/>
        <w:jc w:val="both"/>
        <w:rPr>
          <w:rFonts w:ascii="Humanst521 BT" w:hAnsi="Humanst521 BT"/>
          <w:b/>
        </w:rPr>
      </w:pPr>
      <w:r w:rsidRPr="00411F47">
        <w:rPr>
          <w:rFonts w:ascii="Humanst521 BT" w:hAnsi="Humanst521 BT"/>
          <w:b/>
        </w:rPr>
        <w:t>SUSTITUCIONES REALIZADAS EN LOS CONSEJOS DISTRITALES ELECTORALES:</w:t>
      </w:r>
    </w:p>
    <w:p w:rsidR="00F53001" w:rsidRPr="00411F47" w:rsidRDefault="00F53001" w:rsidP="00F53001">
      <w:pPr>
        <w:spacing w:line="360" w:lineRule="auto"/>
        <w:ind w:left="-567"/>
        <w:jc w:val="both"/>
        <w:rPr>
          <w:rFonts w:ascii="Humanst521 BT" w:hAnsi="Humanst521 BT"/>
          <w:b/>
        </w:rPr>
      </w:pPr>
    </w:p>
    <w:p w:rsidR="00F53001" w:rsidRDefault="00F53001" w:rsidP="00F53001">
      <w:pPr>
        <w:spacing w:line="360" w:lineRule="auto"/>
        <w:ind w:left="-567"/>
        <w:jc w:val="both"/>
        <w:rPr>
          <w:rFonts w:ascii="Humanst521 BT" w:hAnsi="Humanst521 BT"/>
        </w:rPr>
      </w:pPr>
      <w:r w:rsidRPr="00411F47">
        <w:rPr>
          <w:rFonts w:ascii="Humanst521 BT" w:hAnsi="Humanst521 BT"/>
        </w:rPr>
        <w:t xml:space="preserve">Dentro del proceso electoral los Consejos Distritales Electorales recibieron solicitudes de sustitución por parte de los Partidos Políticos derivada de las renuncias que fueron presentadas por los ciudadanos registrados como candidatos a Diputados por el Principio de Mayoría Relativa, por lo cual, con la debida oportunidad, los Consejos Distritales solicitaron en primer término la ratificación de renuncia que presentó el ciudadano, para luego dar trámite a la solicitud de registro la cual se acompañó de la documentación a que hace referencia el artículo 146 de la Ley Electoral. Los Consejos Distritales donde se realizaron sustituciones de candidatos y se expidieron las constancias de registro fueron los siguientes: </w:t>
      </w:r>
    </w:p>
    <w:p w:rsidR="00F53001" w:rsidRPr="00411F47" w:rsidRDefault="00F53001" w:rsidP="00F53001">
      <w:pPr>
        <w:spacing w:line="276" w:lineRule="auto"/>
        <w:ind w:lef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el I Consejo Distrital Electoral se realizó la solicitud de sustitución presentada por el Partido Municipalista de B.C. de su candidata suplente, para quedar la C. Yesenia Ramírez Jaramillo. </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el II Consejo Distrital Electoral, fue sustituida la fórmula de candidatas a diputadas del Partido de la Revolución Democrática, para quedar las C. Graciela Tapia León, como propietaria y la C. Mariana de la Peña Molina, como suplente. </w:t>
      </w:r>
    </w:p>
    <w:p w:rsidR="00F53001"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 xml:space="preserve">De igual forma fue sustituida la candidata suplente del partido Morena, quedando registrada la C. Mónica del Rosario Soriano Rodríguez. </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En el III Consejo Distrital se formuló la sustitución de la candidata suplente del partido Municipalista de B.C., quedando como candidata registrada la C. Andrea Esmeralda Rubio Estrada.</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el IV Consejo Distrital se sustituyeron las candidatas propietaria y suplente del Partido Peninsular de las Californias, C. Laura Elena Vera de la Garza y C. Thalya Guevara Quintero, respectivamente. </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el Distrito VI fue sustituido el candidato suplente del Partido Encuentro Social, para quedar registrado el C. Ángel Daniel Encinas Salazar. </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Por lo que respecta al VII Consejo Distrital, en cumplimiento a la sentencia RA-60/2016 se realizó la sustitución de la formula de candidatos del Partido Morena, para quedar registradas como candidata propietaria la C. Elsa González Mata, y la C. Blanca Esthela González Mariscal, como suplente.</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En el VIII Consejo Distrital, fue acordada la sustitución de los candidatos del Partido Humanista de Baja California, para quedar registrados los C. Reynaldo Santiago Serrano González, como propietario y C. Juan Gabriel Hernández Lemus, como suplente.</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el IX Consejo Distrital se realizó la sustitución formulada por el Partido de Baja California de su candidato suplente, para quedar registrado el C. Rafael Maurizio Cruzmanjarrez García. </w:t>
      </w:r>
    </w:p>
    <w:p w:rsidR="00F53001" w:rsidRDefault="00F53001" w:rsidP="00F53001">
      <w:pPr>
        <w:spacing w:line="276" w:lineRule="auto"/>
        <w:ind w:left="567" w:right="567"/>
        <w:jc w:val="both"/>
        <w:rPr>
          <w:rFonts w:ascii="Humanst521 BT" w:hAnsi="Humanst521 BT"/>
        </w:rPr>
      </w:pPr>
    </w:p>
    <w:p w:rsidR="00F53001" w:rsidRPr="00411F47" w:rsidRDefault="00F53001" w:rsidP="00F53001">
      <w:pPr>
        <w:spacing w:line="276" w:lineRule="auto"/>
        <w:ind w:left="567" w:right="567"/>
        <w:jc w:val="both"/>
        <w:rPr>
          <w:rFonts w:ascii="Humanst521 BT" w:hAnsi="Humanst521 BT"/>
        </w:rPr>
      </w:pPr>
      <w:r w:rsidRPr="00411F47">
        <w:rPr>
          <w:rFonts w:ascii="Humanst521 BT" w:hAnsi="Humanst521 BT"/>
        </w:rPr>
        <w:t xml:space="preserve">A su vez, en ese mismo Distrito, el Partido Peninsular de las Californias sustituyó a su suplente para registrar como candidata a la C. Marisela Pérez González. </w:t>
      </w: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el XIII Consejo Distrital, se sustituyó a la candidata suplente del Partido Peninsular de las Californias, quienes registraron como nueva candidata a la C. Teresa Serrano Trillo. </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 xml:space="preserve">En cuanto al Distrito XV, se formuló y acordó la sustitución de los candidatos propietario y suplente del Partido Municipalista de B.C, para quedar como propietario el C. Ramiro Orea Hernández, y como suplente el C. Herminio González Aguilar, sin embargo puesto que como lo determinó el Tribunal de Justicia Electoral del Estado de Baja California, la renuncia del candidato propietario no fue ratificada, por lo cual no fue procedente dicha sustitución. </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sidRPr="00411F47">
        <w:rPr>
          <w:rFonts w:ascii="Humanst521 BT" w:hAnsi="Humanst521 BT"/>
        </w:rPr>
        <w:t>En ese mismo XV Consejo Distrital se recibió y acordó la sustitución realizada por el Partido Peninsular de las Californias de su candidato a diputado suplente, quedando registrado el C. Manuel Iván Verdugo Hernández.</w:t>
      </w:r>
    </w:p>
    <w:p w:rsidR="00F53001" w:rsidRPr="00411F47" w:rsidRDefault="00F53001" w:rsidP="00F53001">
      <w:pPr>
        <w:spacing w:line="276" w:lineRule="auto"/>
        <w:ind w:left="567" w:right="567"/>
        <w:jc w:val="both"/>
        <w:rPr>
          <w:rFonts w:ascii="Humanst521 BT" w:hAnsi="Humanst521 BT"/>
        </w:rPr>
      </w:pPr>
    </w:p>
    <w:p w:rsidR="00F53001" w:rsidRDefault="00F53001" w:rsidP="00F53001">
      <w:pPr>
        <w:spacing w:line="276" w:lineRule="auto"/>
        <w:ind w:left="567" w:right="567"/>
        <w:jc w:val="both"/>
        <w:rPr>
          <w:rFonts w:ascii="Humanst521 BT" w:hAnsi="Humanst521 BT"/>
        </w:rPr>
      </w:pPr>
      <w:r>
        <w:rPr>
          <w:rFonts w:ascii="Humanst521 BT" w:hAnsi="Humanst521 BT"/>
        </w:rPr>
        <w:t xml:space="preserve">- </w:t>
      </w:r>
      <w:r w:rsidRPr="00411F47">
        <w:rPr>
          <w:rFonts w:ascii="Humanst521 BT" w:hAnsi="Humanst521 BT"/>
        </w:rPr>
        <w:t>Por último, en el XVI Distrito fue procedente la sustitución de la candidata propietaria del Partido de la Revolución Democrática, para quedar registrada la C. Venus Valeria Flores Salas.</w:t>
      </w:r>
    </w:p>
    <w:p w:rsidR="00F53001" w:rsidRPr="00D44A1C" w:rsidRDefault="00F53001" w:rsidP="00F53001">
      <w:pPr>
        <w:spacing w:line="360" w:lineRule="auto"/>
        <w:ind w:left="567" w:right="567"/>
        <w:jc w:val="both"/>
        <w:rPr>
          <w:rFonts w:ascii="Humanst521 BT" w:hAnsi="Humanst521 BT"/>
        </w:rPr>
      </w:pPr>
    </w:p>
    <w:p w:rsidR="00F53001" w:rsidRDefault="00F53001" w:rsidP="00F53001">
      <w:pPr>
        <w:spacing w:line="320" w:lineRule="atLeast"/>
        <w:ind w:left="-567"/>
        <w:jc w:val="both"/>
        <w:rPr>
          <w:rFonts w:ascii="Humanst521 BT" w:hAnsi="Humanst521 BT"/>
          <w:lang w:val="es-MX"/>
        </w:rPr>
      </w:pPr>
      <w:r>
        <w:rPr>
          <w:rFonts w:ascii="Humanst521 BT" w:hAnsi="Humanst521 BT"/>
          <w:lang w:val="es-MX"/>
        </w:rPr>
        <w:t xml:space="preserve">Los mencionados Puntos de Acuerdo de los Consejos Distritales Electorales, pueden ser consultados en la siguiente liga: </w:t>
      </w:r>
      <w:r w:rsidRPr="005D3335">
        <w:rPr>
          <w:rFonts w:ascii="Humanst521 BT" w:hAnsi="Humanst521 BT"/>
          <w:b/>
          <w:lang w:val="es-MX"/>
        </w:rPr>
        <w:t>http://www.ieebc.mx/consejosdistritales.html</w:t>
      </w:r>
    </w:p>
    <w:p w:rsidR="00F53001" w:rsidRDefault="00F53001" w:rsidP="00F53001">
      <w:pPr>
        <w:spacing w:line="320" w:lineRule="atLeast"/>
        <w:ind w:left="-567"/>
        <w:jc w:val="both"/>
        <w:rPr>
          <w:rFonts w:ascii="Humanst521 BT" w:hAnsi="Humanst521 BT"/>
          <w:lang w:val="es-MX"/>
        </w:rPr>
      </w:pPr>
    </w:p>
    <w:p w:rsidR="00F53001" w:rsidRDefault="00F53001" w:rsidP="00F53001">
      <w:pPr>
        <w:spacing w:line="320" w:lineRule="atLeast"/>
        <w:ind w:left="-567"/>
        <w:jc w:val="both"/>
        <w:rPr>
          <w:rFonts w:ascii="Humanst521 BT" w:hAnsi="Humanst521 BT"/>
          <w:lang w:val="es-MX"/>
        </w:rPr>
      </w:pPr>
    </w:p>
    <w:p w:rsidR="00F53001" w:rsidRPr="00D44A1C" w:rsidRDefault="00F53001" w:rsidP="00F53001">
      <w:pPr>
        <w:spacing w:line="320" w:lineRule="atLeast"/>
        <w:ind w:left="-567"/>
        <w:jc w:val="both"/>
        <w:rPr>
          <w:rFonts w:ascii="Humanst521 BT" w:hAnsi="Humanst521 BT"/>
          <w:lang w:val="es-MX"/>
        </w:rPr>
      </w:pPr>
      <w:r w:rsidRPr="00D44A1C">
        <w:rPr>
          <w:rFonts w:ascii="Humanst521 BT" w:hAnsi="Humanst521 BT"/>
          <w:lang w:val="es-MX"/>
        </w:rPr>
        <w:t xml:space="preserve">Sin otro particular de momento, quedo a sus apreciables ordenes. </w:t>
      </w:r>
    </w:p>
    <w:p w:rsidR="00F53001" w:rsidRPr="00D44A1C" w:rsidRDefault="00F53001" w:rsidP="00F53001">
      <w:pPr>
        <w:spacing w:line="320" w:lineRule="atLeast"/>
        <w:jc w:val="both"/>
        <w:rPr>
          <w:rFonts w:ascii="Humanst521 BT" w:hAnsi="Humanst521 BT"/>
          <w:lang w:val="es-MX"/>
        </w:rPr>
      </w:pPr>
    </w:p>
    <w:p w:rsidR="00F53001" w:rsidRPr="00D44A1C" w:rsidRDefault="00F53001" w:rsidP="00F53001">
      <w:pPr>
        <w:ind w:right="-285"/>
        <w:rPr>
          <w:rFonts w:ascii="Humanst521 BT" w:hAnsi="Humanst521 BT"/>
          <w:b/>
          <w:lang w:val="es-MX"/>
        </w:rPr>
      </w:pPr>
    </w:p>
    <w:p w:rsidR="00F53001" w:rsidRDefault="00F53001" w:rsidP="00F53001">
      <w:pPr>
        <w:ind w:right="-285"/>
        <w:jc w:val="center"/>
        <w:rPr>
          <w:rFonts w:ascii="Humanst521 BT" w:hAnsi="Humanst521 BT"/>
          <w:b/>
        </w:rPr>
      </w:pPr>
    </w:p>
    <w:p w:rsidR="00F53001" w:rsidRPr="00D44A1C" w:rsidRDefault="00F53001" w:rsidP="00F53001">
      <w:pPr>
        <w:ind w:right="-285"/>
        <w:jc w:val="center"/>
        <w:rPr>
          <w:rFonts w:ascii="Humanst521 BT" w:hAnsi="Humanst521 BT"/>
          <w:b/>
        </w:rPr>
      </w:pPr>
      <w:r w:rsidRPr="00D44A1C">
        <w:rPr>
          <w:rFonts w:ascii="Humanst521 BT" w:hAnsi="Humanst521 BT"/>
          <w:b/>
        </w:rPr>
        <w:t>A T E N T A M E N T E</w:t>
      </w:r>
    </w:p>
    <w:p w:rsidR="00F53001" w:rsidRPr="00D44A1C" w:rsidRDefault="00F53001" w:rsidP="00F53001">
      <w:pPr>
        <w:ind w:right="-285"/>
        <w:jc w:val="center"/>
        <w:rPr>
          <w:rFonts w:ascii="Humanst521 BT" w:hAnsi="Humanst521 BT"/>
        </w:rPr>
      </w:pPr>
      <w:r w:rsidRPr="00D44A1C">
        <w:rPr>
          <w:rFonts w:ascii="Humanst521 BT" w:hAnsi="Humanst521 BT"/>
        </w:rPr>
        <w:t>“Por la Autonomía e Independencia</w:t>
      </w:r>
    </w:p>
    <w:p w:rsidR="00F53001" w:rsidRPr="00D44A1C" w:rsidRDefault="00F53001" w:rsidP="00F53001">
      <w:pPr>
        <w:ind w:right="-285"/>
        <w:jc w:val="center"/>
        <w:rPr>
          <w:rFonts w:ascii="Humanst521 BT" w:hAnsi="Humanst521 BT"/>
        </w:rPr>
      </w:pPr>
      <w:r w:rsidRPr="00D44A1C">
        <w:rPr>
          <w:rFonts w:ascii="Humanst521 BT" w:hAnsi="Humanst521 BT"/>
        </w:rPr>
        <w:t>de los Organismos Electorales”</w:t>
      </w:r>
    </w:p>
    <w:p w:rsidR="00F53001" w:rsidRPr="00D44A1C" w:rsidRDefault="00F53001" w:rsidP="00F53001">
      <w:pPr>
        <w:ind w:right="-285"/>
        <w:rPr>
          <w:rFonts w:ascii="Humanst521 BT" w:hAnsi="Humanst521 BT"/>
        </w:rPr>
      </w:pPr>
    </w:p>
    <w:p w:rsidR="00F53001" w:rsidRDefault="00F53001" w:rsidP="00F53001">
      <w:pPr>
        <w:ind w:right="-285"/>
        <w:rPr>
          <w:rFonts w:ascii="Humanst521 BT" w:hAnsi="Humanst521 BT"/>
        </w:rPr>
      </w:pPr>
    </w:p>
    <w:p w:rsidR="00F53001" w:rsidRPr="00D44A1C" w:rsidRDefault="00F53001" w:rsidP="00F53001">
      <w:pPr>
        <w:ind w:right="-285"/>
        <w:rPr>
          <w:rFonts w:ascii="Humanst521 BT" w:hAnsi="Humanst521 BT"/>
        </w:rPr>
      </w:pPr>
    </w:p>
    <w:p w:rsidR="00F53001" w:rsidRPr="00D44A1C" w:rsidRDefault="00F53001" w:rsidP="00F53001">
      <w:pPr>
        <w:ind w:right="-285"/>
        <w:jc w:val="center"/>
        <w:rPr>
          <w:rFonts w:ascii="Humanst521 BT" w:hAnsi="Humanst521 BT"/>
        </w:rPr>
      </w:pPr>
      <w:r w:rsidRPr="00D44A1C">
        <w:rPr>
          <w:rFonts w:ascii="Humanst521 BT" w:hAnsi="Humanst521 BT"/>
        </w:rPr>
        <w:t>C.P. SILVIA BADILLA LARA</w:t>
      </w:r>
    </w:p>
    <w:p w:rsidR="00F53001" w:rsidRPr="00D44A1C" w:rsidRDefault="00F53001" w:rsidP="00F53001">
      <w:pPr>
        <w:ind w:right="-285"/>
        <w:jc w:val="center"/>
        <w:rPr>
          <w:rFonts w:ascii="Humanst521 BT" w:hAnsi="Humanst521 BT"/>
          <w:b/>
        </w:rPr>
      </w:pPr>
      <w:r w:rsidRPr="00D44A1C">
        <w:rPr>
          <w:rFonts w:ascii="Humanst521 BT" w:hAnsi="Humanst521 BT"/>
          <w:b/>
        </w:rPr>
        <w:t xml:space="preserve"> TITULAR EJECUTIVA DE LA COORDINACIÓN DE </w:t>
      </w:r>
    </w:p>
    <w:p w:rsidR="00F53001" w:rsidRPr="00D44A1C" w:rsidRDefault="00F53001" w:rsidP="00F53001">
      <w:pPr>
        <w:ind w:right="-285"/>
        <w:jc w:val="center"/>
        <w:rPr>
          <w:rFonts w:ascii="Humanst521 BT" w:hAnsi="Humanst521 BT"/>
          <w:b/>
        </w:rPr>
      </w:pPr>
      <w:r w:rsidRPr="00D44A1C">
        <w:rPr>
          <w:rFonts w:ascii="Humanst521 BT" w:hAnsi="Humanst521 BT"/>
          <w:b/>
        </w:rPr>
        <w:t>PARTIDOS POLÍTICOS Y FINANCIAMIENTO</w:t>
      </w:r>
    </w:p>
    <w:p w:rsidR="00F53001" w:rsidRPr="00D44A1C"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color w:val="404040"/>
          <w:lang w:val="es-MX"/>
        </w:rPr>
      </w:pPr>
    </w:p>
    <w:p w:rsidR="00F53001" w:rsidRDefault="00F53001" w:rsidP="00F53001">
      <w:pPr>
        <w:ind w:right="-285"/>
        <w:rPr>
          <w:rFonts w:ascii="Humanst521 BT" w:hAnsi="Humanst521 BT"/>
          <w:sz w:val="18"/>
          <w:lang w:val="es-MX"/>
        </w:rPr>
      </w:pPr>
    </w:p>
    <w:p w:rsidR="00F53001" w:rsidRDefault="00F53001" w:rsidP="00F53001">
      <w:pPr>
        <w:ind w:right="-285"/>
        <w:rPr>
          <w:rFonts w:ascii="Humanst521 BT" w:hAnsi="Humanst521 BT"/>
          <w:sz w:val="18"/>
          <w:lang w:val="es-MX"/>
        </w:rPr>
      </w:pPr>
    </w:p>
    <w:p w:rsidR="00F53001" w:rsidRPr="00F018CB" w:rsidRDefault="00F53001" w:rsidP="00F53001">
      <w:pPr>
        <w:ind w:right="-285"/>
        <w:rPr>
          <w:rFonts w:ascii="Humanst521 BT" w:hAnsi="Humanst521 BT"/>
          <w:b/>
          <w:sz w:val="18"/>
        </w:rPr>
      </w:pPr>
      <w:r w:rsidRPr="00F018CB">
        <w:rPr>
          <w:rFonts w:ascii="Humanst521 BT" w:hAnsi="Humanst521 BT"/>
          <w:sz w:val="18"/>
          <w:lang w:val="es-MX"/>
        </w:rPr>
        <w:t>Archivo/minutario/SBDL/MDCLS</w:t>
      </w:r>
    </w:p>
    <w:p w:rsidR="00F53001" w:rsidRPr="00EF3017" w:rsidRDefault="00F53001" w:rsidP="00F53001">
      <w:pPr>
        <w:rPr>
          <w:sz w:val="14"/>
        </w:rPr>
      </w:pPr>
    </w:p>
    <w:p w:rsidR="003C4B95" w:rsidRDefault="00EE3427"/>
    <w:sectPr w:rsidR="003C4B95" w:rsidSect="00D76B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27" w:rsidRDefault="00EE3427">
      <w:r>
        <w:separator/>
      </w:r>
    </w:p>
  </w:endnote>
  <w:endnote w:type="continuationSeparator" w:id="0">
    <w:p w:rsidR="00EE3427" w:rsidRDefault="00EE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66" w:rsidRDefault="00DA464D">
    <w:pPr>
      <w:pStyle w:val="Piedepgina"/>
    </w:pPr>
    <w:r>
      <w:rPr>
        <w:noProof/>
        <w:lang w:val="es-MX" w:eastAsia="es-MX"/>
      </w:rPr>
      <mc:AlternateContent>
        <mc:Choice Requires="wps">
          <w:drawing>
            <wp:anchor distT="4294967294" distB="4294967294" distL="114300" distR="114300" simplePos="0" relativeHeight="251663360" behindDoc="0" locked="0" layoutInCell="1" allowOverlap="1">
              <wp:simplePos x="0" y="0"/>
              <wp:positionH relativeFrom="column">
                <wp:posOffset>-232410</wp:posOffset>
              </wp:positionH>
              <wp:positionV relativeFrom="paragraph">
                <wp:posOffset>96519</wp:posOffset>
              </wp:positionV>
              <wp:extent cx="61436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3pt,7.6pt" to="46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" strokecolor="#7030a0" strokeweight="2pt">
              <o:lock v:ext="edit" shapetype="f"/>
            </v:line>
          </w:pict>
        </mc:Fallback>
      </mc:AlternateContent>
    </w:r>
  </w:p>
  <w:p w:rsidR="00E14266" w:rsidRPr="008C5D51" w:rsidRDefault="003F1C5C" w:rsidP="00E14266">
    <w:pPr>
      <w:pStyle w:val="Piedepgina"/>
      <w:jc w:val="center"/>
      <w:rPr>
        <w:sz w:val="20"/>
        <w:szCs w:val="20"/>
        <w:lang w:val="es-MX"/>
      </w:rPr>
    </w:pPr>
    <w:r w:rsidRPr="008C5D51">
      <w:rPr>
        <w:sz w:val="20"/>
        <w:szCs w:val="20"/>
        <w:lang w:val="es-MX"/>
      </w:rPr>
      <w:t>Calz. Justo Sierra No. 1002-BFracc. Los Pinos  C.P. 21230 Mexicali B.C.</w:t>
    </w:r>
  </w:p>
  <w:p w:rsidR="00E14266" w:rsidRPr="008C5D51" w:rsidRDefault="003F1C5C" w:rsidP="00E14266">
    <w:pPr>
      <w:pStyle w:val="Piedepgina"/>
      <w:jc w:val="center"/>
      <w:rPr>
        <w:sz w:val="20"/>
        <w:szCs w:val="20"/>
        <w:lang w:val="es-MX"/>
      </w:rPr>
    </w:pPr>
    <w:r w:rsidRPr="008C5D51">
      <w:rPr>
        <w:sz w:val="20"/>
        <w:szCs w:val="20"/>
        <w:lang w:val="es-MX"/>
      </w:rPr>
      <w:t>Internet-Página: www.ieebc.mx, email: ieebc@ieebc.mx</w:t>
    </w:r>
  </w:p>
  <w:p w:rsidR="00E14266" w:rsidRPr="008C5D51" w:rsidRDefault="003F1C5C" w:rsidP="00E14266">
    <w:pPr>
      <w:pStyle w:val="Piedepgina"/>
      <w:jc w:val="center"/>
      <w:rPr>
        <w:sz w:val="20"/>
        <w:szCs w:val="20"/>
        <w:lang w:val="es-MX"/>
      </w:rPr>
    </w:pPr>
    <w:r w:rsidRPr="008C5D51">
      <w:rPr>
        <w:sz w:val="20"/>
        <w:szCs w:val="20"/>
        <w:lang w:val="es-MX"/>
      </w:rPr>
      <w:t>Tel/Fax&gt; 568-41-76 y 568-4177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27" w:rsidRDefault="00EE3427">
      <w:r>
        <w:separator/>
      </w:r>
    </w:p>
  </w:footnote>
  <w:footnote w:type="continuationSeparator" w:id="0">
    <w:p w:rsidR="00EE3427" w:rsidRDefault="00EE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D2" w:rsidRDefault="003F1C5C">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-439420</wp:posOffset>
          </wp:positionH>
          <wp:positionV relativeFrom="paragraph">
            <wp:posOffset>-93345</wp:posOffset>
          </wp:positionV>
          <wp:extent cx="1246505" cy="524510"/>
          <wp:effectExtent l="19050" t="0" r="0" b="0"/>
          <wp:wrapNone/>
          <wp:docPr id="1"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24510"/>
                  </a:xfrm>
                  <a:prstGeom prst="rect">
                    <a:avLst/>
                  </a:prstGeom>
                  <a:noFill/>
                  <a:ln>
                    <a:noFill/>
                  </a:ln>
                </pic:spPr>
              </pic:pic>
            </a:graphicData>
          </a:graphic>
        </wp:anchor>
      </w:drawing>
    </w:r>
  </w:p>
  <w:p w:rsidR="00E14266" w:rsidRDefault="00DA464D">
    <w:pPr>
      <w:pStyle w:val="Encabezado"/>
    </w:pPr>
    <w:r>
      <w:rPr>
        <w:noProof/>
        <w:lang w:val="es-MX" w:eastAsia="es-MX"/>
      </w:rPr>
      <mc:AlternateContent>
        <mc:Choice Requires="wps">
          <w:drawing>
            <wp:anchor distT="4294967294" distB="4294967294" distL="114300" distR="114300" simplePos="0" relativeHeight="251661312" behindDoc="0" locked="0" layoutInCell="1" allowOverlap="1">
              <wp:simplePos x="0" y="0"/>
              <wp:positionH relativeFrom="column">
                <wp:posOffset>1015365</wp:posOffset>
              </wp:positionH>
              <wp:positionV relativeFrom="paragraph">
                <wp:posOffset>236854</wp:posOffset>
              </wp:positionV>
              <wp:extent cx="4791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9.95pt,18.65pt" to="457.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" strokecolor="#7030a0" strokeweight="2pt">
              <o:lock v:ext="edit" shapetype="f"/>
            </v:line>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710565</wp:posOffset>
              </wp:positionH>
              <wp:positionV relativeFrom="paragraph">
                <wp:posOffset>-259080</wp:posOffset>
              </wp:positionV>
              <wp:extent cx="5372100"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617220"/>
                      </a:xfrm>
                      <a:prstGeom prst="rect">
                        <a:avLst/>
                      </a:prstGeom>
                      <a:noFill/>
                      <a:ln w="6350">
                        <a:noFill/>
                      </a:ln>
                      <a:effectLst/>
                    </wps:spPr>
                    <wps:txbx>
                      <w:txbxContent>
                        <w:p w:rsidR="00E14266" w:rsidRPr="00D74074" w:rsidRDefault="003F1C5C"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3F1C5C"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5pt;margin-top:-20.4pt;width:423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" filled="f" stroked="f" strokeweight=".5pt">
              <v:path arrowok="t"/>
              <v:textbox>
                <w:txbxContent>
                  <w:p w:rsidR="00E14266" w:rsidRPr="00D74074" w:rsidRDefault="003F1C5C"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3F1C5C"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01"/>
    <w:rsid w:val="00112A0B"/>
    <w:rsid w:val="002072A0"/>
    <w:rsid w:val="003F1C5C"/>
    <w:rsid w:val="00455C7F"/>
    <w:rsid w:val="004D018C"/>
    <w:rsid w:val="00787932"/>
    <w:rsid w:val="009E6AE0"/>
    <w:rsid w:val="00D90FEF"/>
    <w:rsid w:val="00DA464D"/>
    <w:rsid w:val="00EE3427"/>
    <w:rsid w:val="00F53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3001"/>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F53001"/>
    <w:rPr>
      <w:rFonts w:ascii="Calibri" w:eastAsia="Calibri" w:hAnsi="Calibri" w:cs="Times New Roman"/>
      <w:lang w:val="en-US"/>
    </w:rPr>
  </w:style>
  <w:style w:type="paragraph" w:styleId="Piedepgina">
    <w:name w:val="footer"/>
    <w:basedOn w:val="Normal"/>
    <w:link w:val="PiedepginaCar"/>
    <w:unhideWhenUsed/>
    <w:rsid w:val="00F53001"/>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F53001"/>
    <w:rPr>
      <w:rFonts w:ascii="Calibri" w:eastAsia="Calibri" w:hAnsi="Calibri" w:cs="Times New Roman"/>
      <w:lang w:val="en-US"/>
    </w:rPr>
  </w:style>
  <w:style w:type="paragraph" w:styleId="Sinespaciado">
    <w:name w:val="No Spacing"/>
    <w:uiPriority w:val="1"/>
    <w:qFormat/>
    <w:rsid w:val="00F5300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3001"/>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F53001"/>
    <w:rPr>
      <w:rFonts w:ascii="Calibri" w:eastAsia="Calibri" w:hAnsi="Calibri" w:cs="Times New Roman"/>
      <w:lang w:val="en-US"/>
    </w:rPr>
  </w:style>
  <w:style w:type="paragraph" w:styleId="Piedepgina">
    <w:name w:val="footer"/>
    <w:basedOn w:val="Normal"/>
    <w:link w:val="PiedepginaCar"/>
    <w:unhideWhenUsed/>
    <w:rsid w:val="00F53001"/>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F53001"/>
    <w:rPr>
      <w:rFonts w:ascii="Calibri" w:eastAsia="Calibri" w:hAnsi="Calibri" w:cs="Times New Roman"/>
      <w:lang w:val="en-US"/>
    </w:rPr>
  </w:style>
  <w:style w:type="paragraph" w:styleId="Sinespaciado">
    <w:name w:val="No Spacing"/>
    <w:uiPriority w:val="1"/>
    <w:qFormat/>
    <w:rsid w:val="00F5300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7149</Characters>
  <Application>Microsoft Office Word</Application>
  <DocSecurity>0</DocSecurity>
  <Lines>59</Lines>
  <Paragraphs>16</Paragraphs>
  <ScaleCrop>false</ScaleCrop>
  <Company>Hewlett-Packard Company</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2016-12-13T17:12:00Z</dcterms:created>
  <dcterms:modified xsi:type="dcterms:W3CDTF">2016-12-13T17:12:00Z</dcterms:modified>
</cp:coreProperties>
</file>